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Условия участия в Электронном аукционе на Портале Электронной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en-US"/>
        </w:rPr>
        <w:t xml:space="preserve">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торговой площадки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       Потенциальным покупателям государственных земельных участков для участия в электронных аукционах необходимо</w:t>
      </w:r>
      <w:r>
        <w:rPr>
          <w:rFonts w:ascii="Times New Roman" w:hAnsi="Times New Roman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   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Приобрести электронную цифровую подпись ЭЦП ключ </w:t>
      </w:r>
      <w:r>
        <w:rPr>
          <w:rFonts w:ascii="Times New Roman" w:hAnsi="Times New Roman"/>
          <w:sz w:val="24"/>
          <w:szCs w:val="24"/>
          <w:rtl w:val="0"/>
          <w:lang w:val="ru-RU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Рутокен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енотокен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адресу г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Бишкек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ул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Орозбекова </w:t>
      </w:r>
      <w:r>
        <w:rPr>
          <w:rFonts w:ascii="Times New Roman" w:hAnsi="Times New Roman"/>
          <w:sz w:val="24"/>
          <w:szCs w:val="24"/>
          <w:rtl w:val="0"/>
          <w:lang w:val="ru-RU"/>
        </w:rPr>
        <w:t>2/2 (</w:t>
      </w:r>
      <w:r>
        <w:rPr>
          <w:rFonts w:ascii="Times New Roman" w:hAnsi="Times New Roman"/>
          <w:sz w:val="24"/>
          <w:szCs w:val="24"/>
          <w:rtl w:val="0"/>
          <w:lang w:val="en-US"/>
        </w:rPr>
        <w:t>UBR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Енот</w:t>
      </w:r>
      <w:r>
        <w:rPr>
          <w:rFonts w:ascii="Times New Roman" w:hAnsi="Times New Roman"/>
          <w:sz w:val="24"/>
          <w:szCs w:val="24"/>
          <w:rtl w:val="0"/>
          <w:lang w:val="ru-RU"/>
        </w:rPr>
        <w:t>)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2.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Пройти регистрацию на портале Электронной торговой площадки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"http://auctionetp.gov.kg"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ru-RU"/>
        </w:rPr>
        <w:t>http://auctionetp.gov.kg</w:t>
      </w:r>
      <w:r>
        <w:rPr/>
        <w:fldChar w:fldCharType="end" w:fldLock="0"/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посредством приобретенного ЭЦП ключа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после появится доступ в личный кабинет участника на Портале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личном кабинете участника необходимо выбрать интересующий Лот и подать соответствующую заявку на участие в электронном аукционе для этого необходимо</w:t>
      </w:r>
      <w:r>
        <w:rPr>
          <w:rFonts w:ascii="Times New Roman" w:hAnsi="Times New Roman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Заполнить Электронную заявку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прикрепить необходимые документы указанные в информационном сообщении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Произвести оплату гарантийного взноса в размере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процентов от стартовой цены указанного объекта в соответствии с выданным кодом на Электронной торговой площадке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 xml:space="preserve">      Перечень необходимых документов для участия в электронном аукционе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Для физических лиц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: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1.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электронная заявка на участие в электронном аукционе сгенерированная в личном кабинете участника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2.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Документ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удостоверяющий личность физического лица или доверенность на имя представителя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уполномочивающую его выступать от имени физического лица и совершать соответствующие сделки заверенная в установленном законодательством Кыргызской Республики порядке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Внесение на расчетный счет Государственного агентства по управлению государственным имуществом при Кабинете Министров Кыргызской Республики гарантийного взноса в размере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процентов от стартовой стоимости объекта в соответствии с выданным кодом на Электронной торговой площадке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Для юридических лиц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электронная заявка на участие в электронном аукционе сгенерированная в личном кабинете участника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2.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Доверенность на имя представителя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уполномочивающую его выступать от имени юридического лица и совершать соответствующие сделки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Заверенные в установленном законодательством Кыргызской Республики порядке копии учредительных документов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;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4.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Цифровое свидетельство о государственной регистрации юридического лица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;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5.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Решение уполномоченного органа юридического лица на совершение сделки по приобретению объекта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документы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подтверждающие полномочия представителя </w:t>
      </w:r>
      <w:r>
        <w:rPr>
          <w:rFonts w:ascii="Times New Roman" w:hAnsi="Times New Roman"/>
          <w:sz w:val="24"/>
          <w:szCs w:val="24"/>
          <w:rtl w:val="0"/>
          <w:lang w:val="ru-RU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руководителя</w:t>
      </w:r>
      <w:r>
        <w:rPr>
          <w:rFonts w:ascii="Times New Roman" w:hAnsi="Times New Roman"/>
          <w:sz w:val="24"/>
          <w:szCs w:val="24"/>
          <w:rtl w:val="0"/>
          <w:lang w:val="ru-RU"/>
        </w:rPr>
        <w:t>);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6.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Внесение на расчетный счет Государственного агентства по управлению государственным имуществом при Кабинете Министров Кыргызской Республики гарантийный взнос в размере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процентов от стартовой стоимости объекта в соответствии с выданным кодом на Электронной торговой площадке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 xml:space="preserve"> </w:t>
      </w:r>
    </w:p>
    <w:p>
      <w:pPr>
        <w:pStyle w:val="Normal.0"/>
        <w:jc w:val="both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Дополнительно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.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если участник Электронного аукциона не признан победителем либо Электронный аукцион признан несостоявшимся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гарантийный взнос возвращается в течение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банковских дней с даты подведения итогов Электронного аукциона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Аукцион признается комиссией несостоявшимся в следующих случаях</w:t>
      </w:r>
      <w:r>
        <w:rPr>
          <w:rFonts w:ascii="Times New Roman" w:hAnsi="Times New Roman"/>
          <w:sz w:val="24"/>
          <w:szCs w:val="24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1)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 участие в аукционе не было подано заявок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2)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ни один претендент не был допущен к участию в аукционе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3)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 участию в аукционе допущен только один претендент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4)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ни один из допущенных на аукцион претендентов не принял в нем участие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5)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для участия в аукционе зарегистрирован один участник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Победителем электронного аукциона признается участник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предложивший наиболее высокую цену за объект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Победителю электронного аукциона гарантийный взнос не возвращается и засчитывается в счет оплаты приобретаемого имущества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отказа победителя электронного аукциона от оплаты выкупной стоимости земельного участка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гарантийный взнос не возвращается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. </w:t>
      </w:r>
    </w:p>
    <w:p>
      <w:pPr>
        <w:pStyle w:val="Normal.0"/>
        <w:jc w:val="both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ru-RU"/>
        </w:rPr>
        <w:t>Телефоны для справок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ru-RU"/>
        </w:rPr>
        <w:t xml:space="preserve">: 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вопросам регистрации на Электронной торговой площадке и проведению электронных аукционов</w:t>
      </w:r>
      <w:r>
        <w:rPr>
          <w:rFonts w:ascii="Times New Roman" w:hAnsi="Times New Roman"/>
          <w:sz w:val="24"/>
          <w:szCs w:val="24"/>
          <w:rtl w:val="0"/>
          <w:lang w:val="ru-RU"/>
        </w:rPr>
        <w:t>: 0312 61 45 36, 0312 61 41 59, 0312 61 40 79, 0312 61 49 59, 0312 61 41 79, +996 557 33 77 23.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  <w:u w:val="single"/>
        </w:rPr>
      </w:pP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>По вопросам земельных участков и проекта государственного значения «Всесезонный горный кластер «Ала</w:t>
      </w: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>-</w:t>
      </w: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>Тоо Резорт»</w:t>
      </w: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>: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>0558008070, 0700482676</w:t>
      </w:r>
    </w:p>
    <w:p>
      <w:pPr>
        <w:pStyle w:val="Normal.0"/>
        <w:jc w:val="both"/>
        <w:rPr>
          <w:rFonts w:ascii="Times New Roman" w:cs="Times New Roman" w:hAnsi="Times New Roman" w:eastAsia="Times New Roman"/>
          <w:sz w:val="24"/>
          <w:szCs w:val="24"/>
          <w:u w:val="single"/>
        </w:rPr>
      </w:pP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>Для СМИ</w:t>
      </w: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 xml:space="preserve">: 0709 787 008 </w:t>
      </w: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>Айжан Омолдошева</w:t>
      </w:r>
    </w:p>
    <w:p>
      <w:pPr>
        <w:pStyle w:val="Normal.0"/>
        <w:jc w:val="both"/>
      </w:pP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>0556 091</w:t>
      </w: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> </w:t>
      </w:r>
      <w:r>
        <w:rPr>
          <w:rFonts w:ascii="Times New Roman" w:hAnsi="Times New Roman"/>
          <w:sz w:val="24"/>
          <w:szCs w:val="24"/>
          <w:u w:val="single"/>
          <w:rtl w:val="0"/>
          <w:lang w:val="ru-RU"/>
        </w:rPr>
        <w:t xml:space="preserve">000 </w:t>
      </w:r>
      <w:r>
        <w:rPr>
          <w:rFonts w:ascii="Times New Roman" w:hAnsi="Times New Roman" w:hint="default"/>
          <w:sz w:val="24"/>
          <w:szCs w:val="24"/>
          <w:u w:val="single"/>
          <w:rtl w:val="0"/>
          <w:lang w:val="ru-RU"/>
        </w:rPr>
        <w:t xml:space="preserve">Махабат Мансурова </w:t>
      </w:r>
    </w:p>
    <w:sectPr>
      <w:headerReference w:type="default" r:id="rId4"/>
      <w:footerReference w:type="default" r:id="rId5"/>
      <w:pgSz w:w="11900" w:h="16840" w:orient="portrait"/>
      <w:pgMar w:top="1134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character" w:styleId="Ссылка">
    <w:name w:val="Ссылка"/>
    <w:rPr>
      <w:outline w:val="0"/>
      <w:color w:val="0563c1"/>
      <w:u w:val="single" w:color="0563c1"/>
      <w14:textFill>
        <w14:solidFill>
          <w14:srgbClr w14:val="0563C1"/>
        </w14:solidFill>
      </w14:textFill>
    </w:rPr>
  </w:style>
  <w:style w:type="character" w:styleId="Hyperlink.0">
    <w:name w:val="Hyperlink.0"/>
    <w:basedOn w:val="Ссылка"/>
    <w:next w:val="Hyperlink.0"/>
    <w:rPr>
      <w:rFonts w:ascii="Times New Roman" w:cs="Times New Roman" w:hAnsi="Times New Roman" w:eastAsia="Times New Roman"/>
      <w:sz w:val="24"/>
      <w:szCs w:val="24"/>
      <w:u w:val="non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